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Effektiv välfärd med valfrihet – personalstrategi och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Rekryteringssvårigheter inom kommunens välfärdsverksamheter har lett till lägre kostnader än budgeterat 2025, men det är ingen hållbar lösning. Brist på personal påverkar kvaliteten i skola, hemtjänst och särskilt boende. I en liten kommun blir varje vakans kännbar.</w:t>
      </w:r>
    </w:p>
    <w:p>
      <w:pPr>
        <w:spacing w:after="100"/>
      </w:pPr>
      <w:r>
        <w:t xml:space="preserve">Moderaterna vill kombinera effektivitet med valfrihet. Genom LOV i hemtjänsten kan fler utförare etableras, brukarna får makt och konkurrens driver kvalitet. Samtidigt behövs en aktiv personalpolitik: bra löner, karriärvägar, boendestöd för nyrekryterade och samarbete med utbildningsanordnare.</w:t>
      </w:r>
    </w:p>
    <w:p>
      <w:pPr>
        <w:spacing w:after="100"/>
      </w:pPr>
      <w:r>
        <w:t xml:space="preserve">God ekonomi ger utrymme att investera i personal och valfrihet. Det är en investering i trygghet för invånarna och i kommunens attraktivitet som arbetsgivare.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socialnämnden och barn- och utbildningsnämnden i uppdrag att ta fram gemensam personalstrategi med fokus på rekrytering och behållande av personal.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eller utöka LOV-system inom hemtjänst och andra lämpliga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stöd till nyrekryterad personal såsom bostadsförmedling och introduktionsprogram.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effekterna på kvalitet och kostnader i delårsrapporter och årsbokslut.</w:t>
      </w:r>
    </w:p>
    <w:p>
      <w:pPr>
        <w:spacing w:before="360"/>
      </w:pPr>
    </w:p>
    <w:p>
      <w:r>
        <w:t xml:space="preserve">Arvidsjaur,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2026-06-06T01:48:18.970Z</dcterms:created>
  <dcterms:modified xsi:type="dcterms:W3CDTF">2026-06-06T01:48:18.970Z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